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EB" w:rsidRDefault="008A7CEB" w:rsidP="008A7C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16—Antifungal, Antiviral, and Immunizing Agents</w:t>
      </w:r>
    </w:p>
    <w:p w:rsidR="008A7CEB" w:rsidRDefault="008A7CEB" w:rsidP="008A7C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8A7CEB" w:rsidRDefault="008A7CEB" w:rsidP="008A7C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actions, uses, contraindications, adverse reactions, dosages, routes, and implications for patient care of selected antifungal and antiviral agents.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four general classes of antiretroviral agents.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highly active antiretroviral therapy (HAART).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</w:t>
      </w:r>
      <w:proofErr w:type="spellStart"/>
      <w:r>
        <w:rPr>
          <w:rFonts w:ascii="Garamond" w:hAnsi="Garamond" w:cs="Garamond"/>
          <w:sz w:val="30"/>
          <w:szCs w:val="30"/>
        </w:rPr>
        <w:t>zidovudine’s</w:t>
      </w:r>
      <w:proofErr w:type="spellEnd"/>
      <w:r>
        <w:rPr>
          <w:rFonts w:ascii="Garamond" w:hAnsi="Garamond" w:cs="Garamond"/>
          <w:sz w:val="30"/>
          <w:szCs w:val="30"/>
        </w:rPr>
        <w:t xml:space="preserve"> role in the reduction of perinatal transmission of HIV.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treatment regimen for AIDS in older adults.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critical thinking questions and activities presented in this unit.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Differentiate between active and passive immunization.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conditions when a live, attenuated-virus vaccine should not be given.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vaccine, toxoid, immune globulin, specific immune globulin, and antitoxin.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who should be immunized against vaccine-preventable diseases.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Become familiar with the immunization schedule given in this unit, and influenza A (H1N1) vaccine dosage, administration, and storage.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Spot Check on immunizations. </w:t>
      </w:r>
    </w:p>
    <w:p w:rsidR="008A7CEB" w:rsidRDefault="008A7CEB" w:rsidP="008A7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lastRenderedPageBreak/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B"/>
    <w:rsid w:val="00073FAC"/>
    <w:rsid w:val="00382BC8"/>
    <w:rsid w:val="008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2012-03-25T19:29:00Z</dcterms:created>
  <dcterms:modified xsi:type="dcterms:W3CDTF">2012-03-25T19:30:00Z</dcterms:modified>
</cp:coreProperties>
</file>