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F" w:rsidRDefault="00880ACF" w:rsidP="00880A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27—Medications That Affect the Nervous System</w:t>
      </w:r>
    </w:p>
    <w:p w:rsidR="00880ACF" w:rsidRDefault="00880ACF" w:rsidP="00880A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880ACF" w:rsidRDefault="00880ACF" w:rsidP="00880A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nervous system.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pain.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the special considerations for older adults with pain.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Give some indications of pain in neonates, infants, toddlers, and older children.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various techniques for assessing pain in children.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critical thinking questions and activities presented in this unit.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State the actions, uses, contraindications, adverse reactions, dosage and route, implications for patient care, patient teaching, and special considerations for narcotic analgesics, barbiturates, anti-</w:t>
      </w:r>
      <w:proofErr w:type="spellStart"/>
      <w:r>
        <w:rPr>
          <w:rFonts w:ascii="Garamond" w:hAnsi="Garamond" w:cs="Garamond"/>
          <w:sz w:val="30"/>
          <w:szCs w:val="30"/>
        </w:rPr>
        <w:t>parkinsonian</w:t>
      </w:r>
      <w:proofErr w:type="spellEnd"/>
      <w:r>
        <w:rPr>
          <w:rFonts w:ascii="Garamond" w:hAnsi="Garamond" w:cs="Garamond"/>
          <w:sz w:val="30"/>
          <w:szCs w:val="30"/>
        </w:rPr>
        <w:t xml:space="preserve"> drugs, and anticonvulsants.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action, usual dosage, and adverse reactions of selected analgesic-antipyretics and a narcotic antagonist (naloxone hydrochloride).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Spot Check on selected medications used to treat pain.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schedule, duration, usual sedative dose, and usual hypnotic dose of selected </w:t>
      </w:r>
      <w:proofErr w:type="spellStart"/>
      <w:r>
        <w:rPr>
          <w:rFonts w:ascii="Garamond" w:hAnsi="Garamond" w:cs="Garamond"/>
          <w:sz w:val="30"/>
          <w:szCs w:val="30"/>
        </w:rPr>
        <w:t>barbitu</w:t>
      </w:r>
      <w:proofErr w:type="spellEnd"/>
      <w:r>
        <w:rPr>
          <w:rFonts w:ascii="Garamond" w:hAnsi="Garamond" w:cs="Garamond"/>
          <w:sz w:val="30"/>
          <w:szCs w:val="30"/>
        </w:rPr>
        <w:t xml:space="preserve">- rates. </w:t>
      </w:r>
    </w:p>
    <w:p w:rsidR="00880ACF" w:rsidRDefault="00880ACF" w:rsidP="00880A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Give examples of benzodiazepines that are effective sedative-hypnotics.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CF"/>
    <w:rsid w:val="00073FAC"/>
    <w:rsid w:val="00382BC8"/>
    <w:rsid w:val="008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2012-03-25T19:39:00Z</dcterms:created>
  <dcterms:modified xsi:type="dcterms:W3CDTF">2012-03-25T19:40:00Z</dcterms:modified>
</cp:coreProperties>
</file>