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61" w:rsidRDefault="00574A12" w:rsidP="00FD2957">
      <w:pPr>
        <w:jc w:val="center"/>
        <w:rPr>
          <w:b/>
        </w:rPr>
      </w:pPr>
      <w:r w:rsidRPr="00FD2957">
        <w:rPr>
          <w:b/>
        </w:rPr>
        <w:t>Workplace Success Skills Outcomes</w:t>
      </w:r>
      <w:r w:rsidR="00FD2957">
        <w:rPr>
          <w:b/>
        </w:rPr>
        <w:br/>
        <w:t>11/18/15</w:t>
      </w:r>
    </w:p>
    <w:p w:rsidR="00FD2957" w:rsidRPr="00FD2957" w:rsidRDefault="00FD2957" w:rsidP="00FD2957">
      <w:pPr>
        <w:jc w:val="center"/>
        <w:rPr>
          <w:b/>
        </w:rPr>
      </w:pPr>
    </w:p>
    <w:p w:rsidR="00574A12" w:rsidRPr="00FD2957" w:rsidRDefault="00574A12">
      <w:pPr>
        <w:rPr>
          <w:i/>
        </w:rPr>
      </w:pPr>
      <w:r w:rsidRPr="00FD2957">
        <w:rPr>
          <w:i/>
        </w:rPr>
        <w:t>U</w:t>
      </w:r>
      <w:r w:rsidR="00FD2957" w:rsidRPr="00FD2957">
        <w:rPr>
          <w:i/>
        </w:rPr>
        <w:t>pon successful completion of this</w:t>
      </w:r>
      <w:r w:rsidRPr="00FD2957">
        <w:rPr>
          <w:i/>
        </w:rPr>
        <w:t xml:space="preserve"> module, you will be able to</w:t>
      </w:r>
      <w:r w:rsidR="00FD2957" w:rsidRPr="00FD2957">
        <w:rPr>
          <w:i/>
        </w:rPr>
        <w:t>:</w:t>
      </w:r>
    </w:p>
    <w:p w:rsidR="0002376D" w:rsidRDefault="0002376D" w:rsidP="0002376D">
      <w:r>
        <w:t>Goal Setting:</w:t>
      </w:r>
    </w:p>
    <w:p w:rsidR="00574A12" w:rsidRDefault="00FD2957" w:rsidP="00574A12">
      <w:pPr>
        <w:pStyle w:val="ListParagraph"/>
        <w:numPr>
          <w:ilvl w:val="0"/>
          <w:numId w:val="1"/>
        </w:numPr>
      </w:pPr>
      <w:r>
        <w:t>C</w:t>
      </w:r>
      <w:r w:rsidR="00574A12">
        <w:t>reate a personal vision statement</w:t>
      </w:r>
      <w:r>
        <w:t>.</w:t>
      </w:r>
    </w:p>
    <w:p w:rsidR="00574A12" w:rsidRDefault="00FD2957" w:rsidP="00574A12">
      <w:pPr>
        <w:pStyle w:val="ListParagraph"/>
        <w:numPr>
          <w:ilvl w:val="0"/>
          <w:numId w:val="1"/>
        </w:numPr>
      </w:pPr>
      <w:r>
        <w:t>C</w:t>
      </w:r>
      <w:r w:rsidR="00574A12">
        <w:t>reate SMART goals</w:t>
      </w:r>
      <w:r>
        <w:t>.</w:t>
      </w:r>
    </w:p>
    <w:p w:rsidR="0002376D" w:rsidRDefault="0002376D" w:rsidP="0002376D">
      <w:r>
        <w:t>Team Building:</w:t>
      </w:r>
    </w:p>
    <w:p w:rsidR="00574A12" w:rsidRDefault="00FD2957" w:rsidP="00574A12">
      <w:pPr>
        <w:pStyle w:val="ListParagraph"/>
        <w:numPr>
          <w:ilvl w:val="0"/>
          <w:numId w:val="1"/>
        </w:numPr>
      </w:pPr>
      <w:r>
        <w:t xml:space="preserve">Identify and apply </w:t>
      </w:r>
      <w:r w:rsidR="00574A12">
        <w:t>the elements of a successful team</w:t>
      </w:r>
      <w:r>
        <w:t>.</w:t>
      </w:r>
    </w:p>
    <w:p w:rsidR="0002376D" w:rsidRDefault="0002376D" w:rsidP="0002376D">
      <w:r>
        <w:t>Stress Management:</w:t>
      </w:r>
    </w:p>
    <w:p w:rsidR="00574A12" w:rsidRDefault="00FD2957" w:rsidP="00574A12">
      <w:pPr>
        <w:pStyle w:val="ListParagraph"/>
        <w:numPr>
          <w:ilvl w:val="0"/>
          <w:numId w:val="1"/>
        </w:numPr>
      </w:pPr>
      <w:r>
        <w:t xml:space="preserve">Identify and use </w:t>
      </w:r>
      <w:r w:rsidR="00574A12">
        <w:t>coping behaviors and health</w:t>
      </w:r>
      <w:r>
        <w:t>ful</w:t>
      </w:r>
      <w:r w:rsidR="00574A12">
        <w:t xml:space="preserve"> </w:t>
      </w:r>
      <w:r>
        <w:t xml:space="preserve">guidelines to deal </w:t>
      </w:r>
      <w:r w:rsidR="00574A12">
        <w:t>with stress</w:t>
      </w:r>
      <w:r>
        <w:t>.</w:t>
      </w:r>
    </w:p>
    <w:p w:rsidR="0002376D" w:rsidRDefault="0002376D" w:rsidP="0002376D">
      <w:r>
        <w:t>Time Management</w:t>
      </w:r>
    </w:p>
    <w:p w:rsidR="00574A12" w:rsidRDefault="00FD2957" w:rsidP="00574A12">
      <w:pPr>
        <w:pStyle w:val="ListParagraph"/>
        <w:numPr>
          <w:ilvl w:val="0"/>
          <w:numId w:val="1"/>
        </w:numPr>
      </w:pPr>
      <w:r>
        <w:t xml:space="preserve">Apply </w:t>
      </w:r>
      <w:r w:rsidR="00574A12">
        <w:t>time management</w:t>
      </w:r>
      <w:r>
        <w:t xml:space="preserve"> techniques.</w:t>
      </w:r>
    </w:p>
    <w:p w:rsidR="0002376D" w:rsidRDefault="0002376D" w:rsidP="0002376D">
      <w:r>
        <w:t>Workplace Success</w:t>
      </w:r>
    </w:p>
    <w:p w:rsidR="0002376D" w:rsidRDefault="008E77AA" w:rsidP="0002376D">
      <w:pPr>
        <w:pStyle w:val="ListParagraph"/>
        <w:numPr>
          <w:ilvl w:val="0"/>
          <w:numId w:val="1"/>
        </w:numPr>
      </w:pPr>
      <w:r>
        <w:t xml:space="preserve">Explain the need for </w:t>
      </w:r>
      <w:r w:rsidR="00574A12">
        <w:t>diversity and accountability in the workplace</w:t>
      </w:r>
      <w:r w:rsidR="00FD2957">
        <w:t>.</w:t>
      </w:r>
    </w:p>
    <w:p w:rsidR="0002376D" w:rsidRDefault="0002376D" w:rsidP="0002376D">
      <w:r>
        <w:t>Job Search</w:t>
      </w:r>
    </w:p>
    <w:p w:rsidR="00574A12" w:rsidRDefault="00FD2957" w:rsidP="00574A12">
      <w:pPr>
        <w:pStyle w:val="ListParagraph"/>
        <w:numPr>
          <w:ilvl w:val="0"/>
          <w:numId w:val="1"/>
        </w:numPr>
      </w:pPr>
      <w:r>
        <w:t>C</w:t>
      </w:r>
      <w:r w:rsidR="00574A12">
        <w:t>onduct a manufacturing job search</w:t>
      </w:r>
      <w:r>
        <w:t xml:space="preserve"> using recommended techni</w:t>
      </w:r>
      <w:r w:rsidR="008E77AA">
        <w:t>qu</w:t>
      </w:r>
      <w:r>
        <w:t xml:space="preserve">es. </w:t>
      </w:r>
    </w:p>
    <w:p w:rsidR="0002376D" w:rsidRDefault="0002376D" w:rsidP="0002376D">
      <w:r>
        <w:t>Resume Writing</w:t>
      </w:r>
    </w:p>
    <w:p w:rsidR="00574A12" w:rsidRDefault="00574A12" w:rsidP="00574A12">
      <w:pPr>
        <w:pStyle w:val="ListParagraph"/>
        <w:numPr>
          <w:ilvl w:val="0"/>
          <w:numId w:val="1"/>
        </w:numPr>
      </w:pPr>
      <w:r>
        <w:t>Create a resume and cover letter for a manufacturing job search</w:t>
      </w:r>
      <w:r w:rsidR="00FD2957">
        <w:t>.</w:t>
      </w:r>
    </w:p>
    <w:p w:rsidR="0002376D" w:rsidRDefault="0002376D" w:rsidP="0002376D">
      <w:r>
        <w:t>Interview Techniques</w:t>
      </w:r>
    </w:p>
    <w:p w:rsidR="00574A12" w:rsidRDefault="00574A12" w:rsidP="00574A12">
      <w:pPr>
        <w:pStyle w:val="ListParagraph"/>
        <w:numPr>
          <w:ilvl w:val="0"/>
          <w:numId w:val="1"/>
        </w:numPr>
      </w:pPr>
      <w:r>
        <w:t>Participate in a mock interview</w:t>
      </w:r>
      <w:r w:rsidR="00FD2957">
        <w:t>.</w:t>
      </w:r>
    </w:p>
    <w:p w:rsidR="00574A12" w:rsidRDefault="00574A12" w:rsidP="00574A12">
      <w:pPr>
        <w:pStyle w:val="ListParagraph"/>
        <w:numPr>
          <w:ilvl w:val="0"/>
          <w:numId w:val="1"/>
        </w:numPr>
      </w:pPr>
      <w:r>
        <w:t>Effectively answer interview questions</w:t>
      </w:r>
      <w:r w:rsidR="00FD2957">
        <w:t>.</w:t>
      </w:r>
    </w:p>
    <w:p w:rsidR="00530B10" w:rsidRDefault="00530B10" w:rsidP="00530B10">
      <w:pPr>
        <w:pStyle w:val="NormalWeb"/>
        <w:numPr>
          <w:ilvl w:val="0"/>
          <w:numId w:val="1"/>
        </w:numPr>
        <w:kinsoku w:val="0"/>
        <w:overflowPunct w:val="0"/>
        <w:spacing w:before="0" w:beforeAutospacing="0" w:after="0" w:afterAutospacing="0"/>
        <w:textAlignment w:val="baseline"/>
        <w:rPr>
          <w:rFonts w:ascii="Calibri" w:eastAsia="MS PGothic" w:hAnsi="Calibri" w:cstheme="minorBidi"/>
          <w:color w:val="000000" w:themeColor="text1"/>
          <w:kern w:val="24"/>
          <w:sz w:val="20"/>
          <w:szCs w:val="20"/>
        </w:rPr>
      </w:pPr>
      <w:r>
        <w:rPr>
          <w:rFonts w:ascii="Calibri" w:eastAsia="MS PGothic" w:hAnsi="Calibri" w:cstheme="minorBidi"/>
          <w:color w:val="000000" w:themeColor="text1"/>
          <w:kern w:val="24"/>
          <w:sz w:val="20"/>
          <w:szCs w:val="20"/>
        </w:rPr>
        <w:t>This project is sponsored by a $15.9 million grant from the U.S. Department of Labor, Employment and Training Administration.</w:t>
      </w:r>
    </w:p>
    <w:p w:rsidR="00530B10" w:rsidRDefault="00530B10" w:rsidP="00530B10">
      <w:pPr>
        <w:pStyle w:val="NormalWeb"/>
        <w:numPr>
          <w:ilvl w:val="0"/>
          <w:numId w:val="1"/>
        </w:numPr>
        <w:kinsoku w:val="0"/>
        <w:overflowPunct w:val="0"/>
        <w:spacing w:before="0" w:beforeAutospacing="0" w:after="0" w:afterAutospacing="0"/>
        <w:textAlignment w:val="baseline"/>
      </w:pPr>
    </w:p>
    <w:p w:rsidR="00530B10" w:rsidRDefault="00530B10" w:rsidP="00530B10">
      <w:pPr>
        <w:pStyle w:val="NormalWeb"/>
        <w:numPr>
          <w:ilvl w:val="0"/>
          <w:numId w:val="1"/>
        </w:numPr>
        <w:kinsoku w:val="0"/>
        <w:overflowPunct w:val="0"/>
        <w:spacing w:before="0" w:beforeAutospacing="0" w:after="0" w:afterAutospacing="0"/>
        <w:textAlignment w:val="baseline"/>
      </w:pPr>
      <w:r>
        <w:rPr>
          <w:rFonts w:ascii="Calibri" w:eastAsia="MS PGothic" w:hAnsi="Calibri" w:cstheme="minorBidi"/>
          <w:color w:val="000000" w:themeColor="text1"/>
          <w:kern w:val="24"/>
          <w:sz w:val="20"/>
          <w:szCs w:val="20"/>
        </w:rPr>
        <w:t xml:space="preserve">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w:t>
      </w:r>
      <w:r>
        <w:rPr>
          <w:rFonts w:ascii="Calibri" w:eastAsia="MS PGothic" w:hAnsi="Calibri" w:cstheme="minorBidi"/>
          <w:color w:val="000000" w:themeColor="text1"/>
          <w:kern w:val="24"/>
          <w:sz w:val="20"/>
          <w:szCs w:val="20"/>
        </w:rPr>
        <w:lastRenderedPageBreak/>
        <w:t>such information, including any information on linked sites and including, but not limited to, accuracy of the information or its completeness, timeliness, usefulness, adequacy, continued availability, or ownership.</w:t>
      </w:r>
    </w:p>
    <w:p w:rsidR="00530B10" w:rsidRDefault="00530B10" w:rsidP="00530B10">
      <w:pPr>
        <w:pStyle w:val="NormalWeb"/>
        <w:numPr>
          <w:ilvl w:val="0"/>
          <w:numId w:val="1"/>
        </w:numPr>
        <w:kinsoku w:val="0"/>
        <w:overflowPunct w:val="0"/>
        <w:spacing w:before="0" w:beforeAutospacing="0" w:after="0" w:afterAutospacing="0"/>
        <w:textAlignment w:val="baseline"/>
        <w:rPr>
          <w:rFonts w:ascii="Calibri" w:eastAsia="MS PGothic" w:hAnsi="Calibri" w:cstheme="minorBidi"/>
          <w:color w:val="000000" w:themeColor="text1"/>
          <w:kern w:val="24"/>
          <w:sz w:val="20"/>
          <w:szCs w:val="20"/>
        </w:rPr>
      </w:pPr>
    </w:p>
    <w:p w:rsidR="00530B10" w:rsidRDefault="00530B10" w:rsidP="00530B10">
      <w:pPr>
        <w:pStyle w:val="NormalWeb"/>
        <w:numPr>
          <w:ilvl w:val="0"/>
          <w:numId w:val="1"/>
        </w:numPr>
        <w:kinsoku w:val="0"/>
        <w:overflowPunct w:val="0"/>
        <w:spacing w:before="0" w:beforeAutospacing="0" w:after="0" w:afterAutospacing="0"/>
        <w:textAlignment w:val="baseline"/>
      </w:pPr>
      <w:r>
        <w:rPr>
          <w:rFonts w:ascii="Calibri" w:eastAsia="MS PGothic" w:hAnsi="Calibri" w:cstheme="minorBidi"/>
          <w:color w:val="000000" w:themeColor="text1"/>
          <w:kern w:val="24"/>
          <w:sz w:val="20"/>
          <w:szCs w:val="20"/>
        </w:rPr>
        <w:t> </w:t>
      </w:r>
      <w:r>
        <w:rPr>
          <w:rFonts w:ascii="Calibri" w:eastAsia="MS PGothic" w:hAnsi="Calibri"/>
          <w:color w:val="000000" w:themeColor="text1"/>
          <w:kern w:val="24"/>
          <w:sz w:val="20"/>
          <w:szCs w:val="20"/>
        </w:rPr>
        <w:t xml:space="preserve">This work is licensed under a Creative Commons Attribution 3.0 </w:t>
      </w:r>
      <w:proofErr w:type="spellStart"/>
      <w:r>
        <w:rPr>
          <w:rFonts w:ascii="Calibri" w:eastAsia="MS PGothic" w:hAnsi="Calibri"/>
          <w:color w:val="000000" w:themeColor="text1"/>
          <w:kern w:val="24"/>
          <w:sz w:val="20"/>
          <w:szCs w:val="20"/>
        </w:rPr>
        <w:t>Unported</w:t>
      </w:r>
      <w:proofErr w:type="spellEnd"/>
      <w:r>
        <w:rPr>
          <w:rFonts w:ascii="Calibri" w:eastAsia="MS PGothic" w:hAnsi="Calibri"/>
          <w:color w:val="000000" w:themeColor="text1"/>
          <w:kern w:val="24"/>
          <w:sz w:val="20"/>
          <w:szCs w:val="20"/>
        </w:rPr>
        <w:t xml:space="preserve"> License [</w:t>
      </w:r>
      <w:hyperlink r:id="rId5" w:history="1">
        <w:r>
          <w:rPr>
            <w:rStyle w:val="Hyperlink"/>
            <w:rFonts w:ascii="Calibri" w:eastAsia="MS PGothic" w:hAnsi="Calibri"/>
            <w:color w:val="000000" w:themeColor="text1"/>
            <w:kern w:val="24"/>
            <w:sz w:val="20"/>
            <w:szCs w:val="20"/>
          </w:rPr>
          <w:t>http://creativecommons.org/licenses/by/3.0</w:t>
        </w:r>
      </w:hyperlink>
      <w:r>
        <w:rPr>
          <w:rFonts w:ascii="Calibri" w:eastAsia="MS PGothic" w:hAnsi="Calibri"/>
          <w:color w:val="000000" w:themeColor="text1"/>
          <w:kern w:val="24"/>
          <w:sz w:val="20"/>
          <w:szCs w:val="20"/>
        </w:rPr>
        <w:t>]</w:t>
      </w:r>
    </w:p>
    <w:p w:rsidR="00530B10" w:rsidRDefault="00530B10" w:rsidP="00574A12">
      <w:pPr>
        <w:pStyle w:val="ListParagraph"/>
        <w:numPr>
          <w:ilvl w:val="0"/>
          <w:numId w:val="1"/>
        </w:numPr>
      </w:pPr>
      <w:bookmarkStart w:id="0" w:name="_GoBack"/>
      <w:bookmarkEnd w:id="0"/>
    </w:p>
    <w:sectPr w:rsidR="00530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C76CD"/>
    <w:multiLevelType w:val="hybridMultilevel"/>
    <w:tmpl w:val="EC60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12"/>
    <w:rsid w:val="0002376D"/>
    <w:rsid w:val="00267861"/>
    <w:rsid w:val="00530B10"/>
    <w:rsid w:val="00574A12"/>
    <w:rsid w:val="008E77AA"/>
    <w:rsid w:val="00FD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D2FE7-00F9-4D64-A3E4-EBB62307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A12"/>
    <w:pPr>
      <w:ind w:left="720"/>
      <w:contextualSpacing/>
    </w:pPr>
  </w:style>
  <w:style w:type="paragraph" w:styleId="NormalWeb">
    <w:name w:val="Normal (Web)"/>
    <w:basedOn w:val="Normal"/>
    <w:uiPriority w:val="99"/>
    <w:semiHidden/>
    <w:unhideWhenUsed/>
    <w:rsid w:val="00530B1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530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il.edc.org/owa/redir.aspx?C=PNCdeC3lN0qucRNHeDCTum6tb4ww79FIxtjv16wi1-AN_aP9kXsgDmrYs6eX5H4wQgRGEpNuzAk.&amp;URL=http://creativecommons.org/licenses/by/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Koslowski, Meghan</dc:creator>
  <cp:lastModifiedBy>RISD</cp:lastModifiedBy>
  <cp:revision>3</cp:revision>
  <dcterms:created xsi:type="dcterms:W3CDTF">2015-12-07T18:47:00Z</dcterms:created>
  <dcterms:modified xsi:type="dcterms:W3CDTF">2017-05-04T14:27:00Z</dcterms:modified>
</cp:coreProperties>
</file>